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A" w:rsidRDefault="006254CA" w:rsidP="006254CA">
      <w:pPr>
        <w:pBdr>
          <w:bottom w:val="single" w:sz="2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 w:rsidR="009F6839" w:rsidRPr="006254CA"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drawing>
          <wp:inline distT="0" distB="0" distL="0" distR="0">
            <wp:extent cx="2352675" cy="9715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ab/>
      </w:r>
    </w:p>
    <w:p w:rsidR="006254CA" w:rsidRPr="00CB0B22" w:rsidRDefault="006254CA" w:rsidP="006254CA">
      <w:pPr>
        <w:pBdr>
          <w:bottom w:val="single" w:sz="2" w:space="0" w:color="AAAAAA"/>
        </w:pBdr>
        <w:shd w:val="clear" w:color="auto" w:fill="FFFFFF"/>
        <w:spacing w:after="24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es-AR"/>
        </w:rPr>
      </w:pPr>
      <w:r w:rsidRPr="00CB0B22">
        <w:rPr>
          <w:rFonts w:ascii="Arial" w:eastAsia="Times New Roman" w:hAnsi="Arial" w:cs="Arial"/>
          <w:b/>
          <w:kern w:val="36"/>
          <w:sz w:val="36"/>
          <w:szCs w:val="36"/>
          <w:lang w:eastAsia="es-AR"/>
        </w:rPr>
        <w:t>OPERATIONAL  ITEMS</w:t>
      </w:r>
    </w:p>
    <w:p w:rsidR="006254CA" w:rsidRDefault="006254CA" w:rsidP="006254CA">
      <w:pPr>
        <w:pBdr>
          <w:bottom w:val="single" w:sz="2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</w:pPr>
    </w:p>
    <w:p w:rsidR="006254CA" w:rsidRDefault="006254CA" w:rsidP="006254CA">
      <w:pPr>
        <w:pBdr>
          <w:bottom w:val="single" w:sz="2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</w:pPr>
    </w:p>
    <w:p w:rsidR="006254CA" w:rsidRPr="006254CA" w:rsidRDefault="006254CA" w:rsidP="006254CA">
      <w:pPr>
        <w:pBdr>
          <w:bottom w:val="single" w:sz="2" w:space="0" w:color="AAAAAA"/>
        </w:pBdr>
        <w:shd w:val="clear" w:color="auto" w:fill="FFFFFF"/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</w:pPr>
      <w:r w:rsidRPr="006254CA">
        <w:rPr>
          <w:rFonts w:ascii="Arial" w:eastAsia="Times New Roman" w:hAnsi="Arial" w:cs="Arial"/>
          <w:color w:val="000000"/>
          <w:kern w:val="36"/>
          <w:sz w:val="36"/>
          <w:szCs w:val="36"/>
          <w:lang w:eastAsia="es-AR"/>
        </w:rPr>
        <w:t>Minimum Descent Altitude/Height</w:t>
      </w:r>
    </w:p>
    <w:p w:rsidR="006254CA" w:rsidRDefault="006254CA" w:rsidP="006254CA">
      <w:pPr>
        <w:pStyle w:val="Ttulo2"/>
        <w:pBdr>
          <w:bottom w:val="single" w:sz="2" w:space="2" w:color="AAAAAA"/>
        </w:pBdr>
        <w:shd w:val="clear" w:color="auto" w:fill="FFFFFF"/>
        <w:spacing w:before="0" w:after="144" w:line="286" w:lineRule="atLeast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proofErr w:type="spellStart"/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Definition</w:t>
      </w:r>
      <w:proofErr w:type="spellEnd"/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Minimum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Descent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Altitude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(MDA)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Minimum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Descent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Height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(MDH)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specified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altitude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height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in 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5" w:tooltip="Non-Precision Approach" w:history="1">
        <w:r>
          <w:rPr>
            <w:rStyle w:val="Hipervnculo"/>
            <w:rFonts w:ascii="Arial" w:hAnsi="Arial" w:cs="Arial"/>
            <w:color w:val="002BB8"/>
            <w:sz w:val="19"/>
            <w:szCs w:val="19"/>
          </w:rPr>
          <w:t>Non-</w:t>
        </w:r>
        <w:proofErr w:type="spellStart"/>
        <w:r>
          <w:rPr>
            <w:rStyle w:val="Hipervnculo"/>
            <w:rFonts w:ascii="Arial" w:hAnsi="Arial" w:cs="Arial"/>
            <w:color w:val="002BB8"/>
            <w:sz w:val="19"/>
            <w:szCs w:val="19"/>
          </w:rPr>
          <w:t>Precision</w:t>
        </w:r>
        <w:proofErr w:type="spellEnd"/>
        <w:r>
          <w:rPr>
            <w:rStyle w:val="Hipervnculo"/>
            <w:rFonts w:ascii="Arial" w:hAnsi="Arial" w:cs="Arial"/>
            <w:color w:val="002BB8"/>
            <w:sz w:val="19"/>
            <w:szCs w:val="19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002BB8"/>
            <w:sz w:val="19"/>
            <w:szCs w:val="19"/>
          </w:rPr>
          <w:t>Approach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HYPERLINK "http://www.skybrary.aero/index.php/Circling_Approach" \o "Circling Approach"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Style w:val="Hipervnculo"/>
          <w:rFonts w:ascii="Arial" w:hAnsi="Arial" w:cs="Arial"/>
          <w:color w:val="002BB8"/>
          <w:sz w:val="19"/>
          <w:szCs w:val="19"/>
        </w:rPr>
        <w:t>Circling</w:t>
      </w:r>
      <w:proofErr w:type="spellEnd"/>
      <w:r>
        <w:rPr>
          <w:rStyle w:val="Hipervnculo"/>
          <w:rFonts w:ascii="Arial" w:hAnsi="Arial" w:cs="Arial"/>
          <w:color w:val="002BB8"/>
          <w:sz w:val="19"/>
          <w:szCs w:val="19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02BB8"/>
          <w:sz w:val="19"/>
          <w:szCs w:val="19"/>
        </w:rPr>
        <w:t>Approach</w: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Fonts w:ascii="Arial" w:hAnsi="Arial" w:cs="Arial"/>
          <w:color w:val="000000"/>
          <w:sz w:val="19"/>
          <w:szCs w:val="19"/>
        </w:rPr>
        <w:t>below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which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descent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without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required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visual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(ICAO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Anex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6)</w:t>
      </w:r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Note 1. MDA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mean sea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level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and MDH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aerodrome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elevation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threshold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elevation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if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more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 m (7 ft)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below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aerodrome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elevation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MDH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circling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approach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aerodrome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elevation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Note 2.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required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visual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means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section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visual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aids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approach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area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which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should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view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sufficient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time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pilot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have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assessment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aircraft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position and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rate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change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position, 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relation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desired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flight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path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case of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circling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approach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required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visual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runway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environment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Note 3.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convenience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when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both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expressions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are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written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“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minimum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descent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altitude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/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height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” and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abbreviated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“MDA/H”.</w:t>
      </w:r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2BB8"/>
          <w:sz w:val="19"/>
          <w:szCs w:val="19"/>
        </w:rPr>
        <w:drawing>
          <wp:inline distT="0" distB="0" distL="0" distR="0">
            <wp:extent cx="5715000" cy="2524125"/>
            <wp:effectExtent l="19050" t="0" r="0" b="0"/>
            <wp:docPr id="1" name="Imagen 1" descr="101020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020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MDA/H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differs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from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8" w:tooltip="DA/H" w:history="1">
        <w:r>
          <w:rPr>
            <w:rStyle w:val="Hipervnculo"/>
            <w:rFonts w:ascii="Arial" w:hAnsi="Arial" w:cs="Arial"/>
            <w:color w:val="002BB8"/>
            <w:sz w:val="19"/>
            <w:szCs w:val="19"/>
          </w:rPr>
          <w:t>DA/H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aircraft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flown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such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way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does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descend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below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MDA/H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unless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required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visual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has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established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Typically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aircraft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lastRenderedPageBreak/>
        <w:t>continue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MDA/H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until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pre-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calculated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missed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approach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point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reached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if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required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visual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reference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established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point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HYPERLINK "http://www.skybrary.aero/index.php/Missed_Approach" \o "Missed Approach" </w:instrText>
      </w:r>
      <w:r>
        <w:rPr>
          <w:rFonts w:ascii="Arial" w:hAnsi="Arial" w:cs="Arial"/>
          <w:color w:val="000000"/>
          <w:sz w:val="19"/>
          <w:szCs w:val="19"/>
        </w:rPr>
        <w:fldChar w:fldCharType="separate"/>
      </w:r>
      <w:r>
        <w:rPr>
          <w:rStyle w:val="Hipervnculo"/>
          <w:rFonts w:ascii="Arial" w:hAnsi="Arial" w:cs="Arial"/>
          <w:color w:val="002BB8"/>
          <w:sz w:val="19"/>
          <w:szCs w:val="19"/>
        </w:rPr>
        <w:t>Missed</w:t>
      </w:r>
      <w:proofErr w:type="spellEnd"/>
      <w:r>
        <w:rPr>
          <w:rStyle w:val="Hipervnculo"/>
          <w:rFonts w:ascii="Arial" w:hAnsi="Arial" w:cs="Arial"/>
          <w:color w:val="002BB8"/>
          <w:sz w:val="19"/>
          <w:szCs w:val="19"/>
        </w:rPr>
        <w:t xml:space="preserve"> </w:t>
      </w:r>
      <w:proofErr w:type="spellStart"/>
      <w:r>
        <w:rPr>
          <w:rStyle w:val="Hipervnculo"/>
          <w:rFonts w:ascii="Arial" w:hAnsi="Arial" w:cs="Arial"/>
          <w:color w:val="002BB8"/>
          <w:sz w:val="19"/>
          <w:szCs w:val="19"/>
        </w:rPr>
        <w:t>Approach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flown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MDA/H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lower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system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minimum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type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approach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table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below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1500"/>
      </w:tblGrid>
      <w:tr w:rsidR="006254CA" w:rsidTr="006254C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System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minima</w:t>
            </w:r>
            <w:proofErr w:type="spellEnd"/>
          </w:p>
        </w:tc>
      </w:tr>
      <w:tr w:rsidR="006254CA" w:rsidTr="006254CA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Facility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Lowest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MDH</w:t>
            </w:r>
          </w:p>
        </w:tc>
      </w:tr>
      <w:tr w:rsidR="006254CA" w:rsidTr="00625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ILS (no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glide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path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- LLZ)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250 ft</w:t>
            </w:r>
          </w:p>
        </w:tc>
      </w:tr>
      <w:tr w:rsidR="006254CA" w:rsidTr="00625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300 ft</w:t>
            </w:r>
          </w:p>
        </w:tc>
      </w:tr>
      <w:tr w:rsidR="006254CA" w:rsidTr="00625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VOR/DME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250 ft</w:t>
            </w:r>
          </w:p>
        </w:tc>
      </w:tr>
      <w:tr w:rsidR="006254CA" w:rsidTr="006254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4CA" w:rsidRDefault="006254CA">
            <w:pPr>
              <w:spacing w:line="28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300 ft</w:t>
            </w:r>
          </w:p>
        </w:tc>
      </w:tr>
    </w:tbl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operator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specify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addition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MDA/H,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which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depends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performance of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aircraft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ensure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if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missed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approach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commenced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at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altitude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aircraft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will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descend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below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MDA/H.</w:t>
      </w:r>
    </w:p>
    <w:p w:rsidR="006254CA" w:rsidRP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  <w:lang w:val="it-IT"/>
        </w:rPr>
      </w:pPr>
      <w:r w:rsidRPr="006254CA">
        <w:rPr>
          <w:rFonts w:ascii="Arial" w:hAnsi="Arial" w:cs="Arial"/>
          <w:color w:val="000000"/>
          <w:sz w:val="19"/>
          <w:szCs w:val="19"/>
          <w:lang w:val="it-IT"/>
        </w:rPr>
        <w:t>For more information regarding the calculation of MDA/H see</w:t>
      </w:r>
      <w:r w:rsidRPr="006254CA">
        <w:rPr>
          <w:rStyle w:val="apple-converted-space"/>
          <w:rFonts w:ascii="Arial" w:hAnsi="Arial" w:cs="Arial"/>
          <w:color w:val="000000"/>
          <w:sz w:val="19"/>
          <w:szCs w:val="19"/>
          <w:lang w:val="it-IT"/>
        </w:rPr>
        <w:t> </w:t>
      </w:r>
      <w:hyperlink r:id="rId9" w:tooltip="Aerodrome Operating Minima" w:history="1">
        <w:r w:rsidRPr="006254CA">
          <w:rPr>
            <w:rStyle w:val="Hipervnculo"/>
            <w:rFonts w:ascii="Arial" w:hAnsi="Arial" w:cs="Arial"/>
            <w:color w:val="002BB8"/>
            <w:sz w:val="19"/>
            <w:szCs w:val="19"/>
            <w:lang w:val="it-IT"/>
          </w:rPr>
          <w:t>Aerodrome Operating Minima</w:t>
        </w:r>
      </w:hyperlink>
      <w:r w:rsidRPr="006254CA">
        <w:rPr>
          <w:rStyle w:val="apple-converted-space"/>
          <w:rFonts w:ascii="Arial" w:hAnsi="Arial" w:cs="Arial"/>
          <w:color w:val="000000"/>
          <w:sz w:val="19"/>
          <w:szCs w:val="19"/>
          <w:lang w:val="it-IT"/>
        </w:rPr>
        <w:t> </w:t>
      </w:r>
      <w:r w:rsidRPr="006254CA">
        <w:rPr>
          <w:rFonts w:ascii="Arial" w:hAnsi="Arial" w:cs="Arial"/>
          <w:color w:val="000000"/>
          <w:sz w:val="19"/>
          <w:szCs w:val="19"/>
          <w:lang w:val="it-IT"/>
        </w:rPr>
        <w:t>(AOM).</w:t>
      </w:r>
    </w:p>
    <w:p w:rsidR="006254CA" w:rsidRPr="006254CA" w:rsidRDefault="006254CA" w:rsidP="006254CA">
      <w:pPr>
        <w:pStyle w:val="Ttulo2"/>
        <w:pBdr>
          <w:bottom w:val="single" w:sz="2" w:space="2" w:color="AAAAAA"/>
        </w:pBdr>
        <w:shd w:val="clear" w:color="auto" w:fill="FFFFFF"/>
        <w:spacing w:before="0" w:after="144" w:line="286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it-IT"/>
        </w:rPr>
      </w:pPr>
      <w:r w:rsidRPr="006254CA"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  <w:lang w:val="it-IT"/>
        </w:rPr>
        <w:t>Further Reading</w:t>
      </w:r>
    </w:p>
    <w:p w:rsid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  <w:lang w:val="it-IT"/>
        </w:rPr>
      </w:pPr>
      <w:r w:rsidRPr="006254CA">
        <w:rPr>
          <w:rFonts w:ascii="Arial" w:hAnsi="Arial" w:cs="Arial"/>
          <w:color w:val="000000"/>
          <w:sz w:val="19"/>
          <w:szCs w:val="19"/>
          <w:lang w:val="it-IT"/>
        </w:rPr>
        <w:t>ICAO Annex 6 (Operation of Aircraft)</w:t>
      </w:r>
    </w:p>
    <w:p w:rsidR="006254CA" w:rsidRPr="006254CA" w:rsidRDefault="006254CA" w:rsidP="006254CA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  <w:lang w:val="it-IT"/>
        </w:rPr>
      </w:pPr>
    </w:p>
    <w:p w:rsidR="00973000" w:rsidRPr="006254CA" w:rsidRDefault="00973000">
      <w:pPr>
        <w:rPr>
          <w:lang w:val="it-IT"/>
        </w:rPr>
      </w:pPr>
    </w:p>
    <w:sectPr w:rsidR="00973000" w:rsidRPr="006254CA" w:rsidSect="00973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4CA"/>
    <w:rsid w:val="006254CA"/>
    <w:rsid w:val="00973000"/>
    <w:rsid w:val="009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00"/>
  </w:style>
  <w:style w:type="paragraph" w:styleId="Ttulo1">
    <w:name w:val="heading 1"/>
    <w:basedOn w:val="Normal"/>
    <w:link w:val="Ttulo1Car"/>
    <w:uiPriority w:val="9"/>
    <w:qFormat/>
    <w:rsid w:val="00625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5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54C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6254CA"/>
  </w:style>
  <w:style w:type="paragraph" w:styleId="NormalWeb">
    <w:name w:val="Normal (Web)"/>
    <w:basedOn w:val="Normal"/>
    <w:uiPriority w:val="99"/>
    <w:semiHidden/>
    <w:unhideWhenUsed/>
    <w:rsid w:val="0062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6254CA"/>
  </w:style>
  <w:style w:type="character" w:styleId="Hipervnculo">
    <w:name w:val="Hyperlink"/>
    <w:basedOn w:val="Fuentedeprrafopredeter"/>
    <w:uiPriority w:val="99"/>
    <w:semiHidden/>
    <w:unhideWhenUsed/>
    <w:rsid w:val="006254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brary.aero/index.php/DA/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brary.aero/index.php/File:101020-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ybrary.aero/index.php/Non-Precision_Approa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kybrary.aero/index.php/Aerodrome_Operating_Mini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Exequiel</dc:creator>
  <cp:lastModifiedBy>Exequiel</cp:lastModifiedBy>
  <cp:revision>1</cp:revision>
  <dcterms:created xsi:type="dcterms:W3CDTF">2016-04-22T16:38:00Z</dcterms:created>
  <dcterms:modified xsi:type="dcterms:W3CDTF">2016-04-22T16:49:00Z</dcterms:modified>
</cp:coreProperties>
</file>